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DF0" w:rsidRPr="00B62DF0" w:rsidRDefault="00B62DF0" w:rsidP="00B62DF0">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B62DF0">
        <w:rPr>
          <w:rFonts w:ascii="Times New Roman" w:eastAsia="Times New Roman" w:hAnsi="Times New Roman" w:cs="Times New Roman"/>
          <w:b/>
          <w:bCs/>
          <w:kern w:val="36"/>
          <w:sz w:val="48"/>
          <w:szCs w:val="48"/>
        </w:rPr>
        <w:t>Intellectual Property Considerations in Venture Capital and Technology Investments in Kenya</w:t>
      </w:r>
    </w:p>
    <w:p w:rsidR="00B62DF0" w:rsidRPr="00B62DF0" w:rsidRDefault="00B62DF0" w:rsidP="00B62DF0">
      <w:pPr>
        <w:spacing w:before="100" w:beforeAutospacing="1" w:after="100" w:afterAutospacing="1" w:line="240" w:lineRule="auto"/>
        <w:outlineLvl w:val="1"/>
        <w:rPr>
          <w:rFonts w:ascii="Times New Roman" w:eastAsia="Times New Roman" w:hAnsi="Times New Roman" w:cs="Times New Roman"/>
          <w:b/>
          <w:bCs/>
          <w:sz w:val="36"/>
          <w:szCs w:val="36"/>
        </w:rPr>
      </w:pPr>
      <w:r w:rsidRPr="00B62DF0">
        <w:rPr>
          <w:rFonts w:ascii="Times New Roman" w:eastAsia="Times New Roman" w:hAnsi="Times New Roman" w:cs="Times New Roman"/>
          <w:b/>
          <w:bCs/>
          <w:sz w:val="36"/>
          <w:szCs w:val="36"/>
        </w:rPr>
        <w:t>Introduction</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Intellectual property (IP) is the lifeblood of technology and innovation-driven companies. For venture capital (VC) and private equity investors in Kenya, understanding the nuances of IP law is not just a legal formality — it is central to </w:t>
      </w:r>
      <w:r w:rsidRPr="00B62DF0">
        <w:rPr>
          <w:rFonts w:ascii="Times New Roman" w:eastAsia="Times New Roman" w:hAnsi="Times New Roman" w:cs="Times New Roman"/>
          <w:b/>
          <w:bCs/>
          <w:sz w:val="24"/>
          <w:szCs w:val="24"/>
        </w:rPr>
        <w:t>risk management, valuation, and long-term investment success</w:t>
      </w:r>
      <w:r w:rsidRPr="00B62DF0">
        <w:rPr>
          <w:rFonts w:ascii="Times New Roman" w:eastAsia="Times New Roman" w:hAnsi="Times New Roman" w:cs="Times New Roman"/>
          <w:sz w:val="24"/>
          <w:szCs w:val="24"/>
        </w:rPr>
        <w:t xml:space="preserve">. Technology companies, </w:t>
      </w:r>
      <w:proofErr w:type="spellStart"/>
      <w:r w:rsidRPr="00B62DF0">
        <w:rPr>
          <w:rFonts w:ascii="Times New Roman" w:eastAsia="Times New Roman" w:hAnsi="Times New Roman" w:cs="Times New Roman"/>
          <w:sz w:val="24"/>
          <w:szCs w:val="24"/>
        </w:rPr>
        <w:t>fintech</w:t>
      </w:r>
      <w:proofErr w:type="spellEnd"/>
      <w:r w:rsidRPr="00B62DF0">
        <w:rPr>
          <w:rFonts w:ascii="Times New Roman" w:eastAsia="Times New Roman" w:hAnsi="Times New Roman" w:cs="Times New Roman"/>
          <w:sz w:val="24"/>
          <w:szCs w:val="24"/>
        </w:rPr>
        <w:t xml:space="preserve"> startups, </w:t>
      </w:r>
      <w:proofErr w:type="spellStart"/>
      <w:r w:rsidRPr="00B62DF0">
        <w:rPr>
          <w:rFonts w:ascii="Times New Roman" w:eastAsia="Times New Roman" w:hAnsi="Times New Roman" w:cs="Times New Roman"/>
          <w:sz w:val="24"/>
          <w:szCs w:val="24"/>
        </w:rPr>
        <w:t>agritech</w:t>
      </w:r>
      <w:proofErr w:type="spellEnd"/>
      <w:r w:rsidRPr="00B62DF0">
        <w:rPr>
          <w:rFonts w:ascii="Times New Roman" w:eastAsia="Times New Roman" w:hAnsi="Times New Roman" w:cs="Times New Roman"/>
          <w:sz w:val="24"/>
          <w:szCs w:val="24"/>
        </w:rPr>
        <w:t xml:space="preserve"> ventures, and creative enterprises often derive their primary value from proprietary technology, software, trademarks, or other intangible assets. Without proper IP protection, investors face significant commercial and legal risks.</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This article explores the key IP considerations for investors and founders in Kenya, providing a practical corporate–commercial perspective.</w:t>
      </w:r>
    </w:p>
    <w:p w:rsidR="00B62DF0" w:rsidRPr="00B62DF0" w:rsidRDefault="00B62DF0" w:rsidP="00B62DF0">
      <w:pPr>
        <w:spacing w:before="100" w:beforeAutospacing="1" w:after="100" w:afterAutospacing="1" w:line="240" w:lineRule="auto"/>
        <w:outlineLvl w:val="1"/>
        <w:rPr>
          <w:rFonts w:ascii="Times New Roman" w:eastAsia="Times New Roman" w:hAnsi="Times New Roman" w:cs="Times New Roman"/>
          <w:b/>
          <w:bCs/>
          <w:sz w:val="36"/>
          <w:szCs w:val="36"/>
        </w:rPr>
      </w:pPr>
      <w:r w:rsidRPr="00B62DF0">
        <w:rPr>
          <w:rFonts w:ascii="Times New Roman" w:eastAsia="Times New Roman" w:hAnsi="Times New Roman" w:cs="Times New Roman"/>
          <w:b/>
          <w:bCs/>
          <w:sz w:val="36"/>
          <w:szCs w:val="36"/>
        </w:rPr>
        <w:t>Why IP Matters in Venture Capital and Technology Investments</w:t>
      </w:r>
    </w:p>
    <w:p w:rsidR="00B62DF0" w:rsidRPr="00B62DF0" w:rsidRDefault="00B62DF0" w:rsidP="00B62DF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Value Preservation</w:t>
      </w:r>
      <w:r w:rsidRPr="00B62DF0">
        <w:rPr>
          <w:rFonts w:ascii="Times New Roman" w:eastAsia="Times New Roman" w:hAnsi="Times New Roman" w:cs="Times New Roman"/>
          <w:sz w:val="24"/>
          <w:szCs w:val="24"/>
        </w:rPr>
        <w:t>: IP assets frequently constitute the majority of a tech company’s value. Investors must ensure that ownership and rights are clearly established.</w:t>
      </w:r>
    </w:p>
    <w:p w:rsidR="00B62DF0" w:rsidRPr="00B62DF0" w:rsidRDefault="00B62DF0" w:rsidP="00B62DF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Investment Risk Mitigation</w:t>
      </w:r>
      <w:r w:rsidRPr="00B62DF0">
        <w:rPr>
          <w:rFonts w:ascii="Times New Roman" w:eastAsia="Times New Roman" w:hAnsi="Times New Roman" w:cs="Times New Roman"/>
          <w:sz w:val="24"/>
          <w:szCs w:val="24"/>
        </w:rPr>
        <w:t>: Unclear IP ownership can lead to disputes, litigation, or challenges during exit events.</w:t>
      </w:r>
    </w:p>
    <w:p w:rsidR="00B62DF0" w:rsidRPr="00B62DF0" w:rsidRDefault="00B62DF0" w:rsidP="00B62DF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Competitive Advantage</w:t>
      </w:r>
      <w:r w:rsidRPr="00B62DF0">
        <w:rPr>
          <w:rFonts w:ascii="Times New Roman" w:eastAsia="Times New Roman" w:hAnsi="Times New Roman" w:cs="Times New Roman"/>
          <w:sz w:val="24"/>
          <w:szCs w:val="24"/>
        </w:rPr>
        <w:t>: Properly protected IP underpins defensibility in the market and enhances investor confidence.</w:t>
      </w:r>
    </w:p>
    <w:p w:rsidR="00B62DF0" w:rsidRPr="00B62DF0" w:rsidRDefault="00B62DF0" w:rsidP="00B62DF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Exit Readiness</w:t>
      </w:r>
      <w:r w:rsidRPr="00B62DF0">
        <w:rPr>
          <w:rFonts w:ascii="Times New Roman" w:eastAsia="Times New Roman" w:hAnsi="Times New Roman" w:cs="Times New Roman"/>
          <w:sz w:val="24"/>
          <w:szCs w:val="24"/>
        </w:rPr>
        <w:t>: Buyers or public markets scrutinize IP ownership and protection; gaps can affect deal valuation or prevent exits.</w:t>
      </w:r>
    </w:p>
    <w:p w:rsidR="00B62DF0" w:rsidRPr="00B62DF0" w:rsidRDefault="00B62DF0" w:rsidP="00B62DF0">
      <w:pPr>
        <w:spacing w:before="100" w:beforeAutospacing="1" w:after="100" w:afterAutospacing="1" w:line="240" w:lineRule="auto"/>
        <w:outlineLvl w:val="1"/>
        <w:rPr>
          <w:rFonts w:ascii="Times New Roman" w:eastAsia="Times New Roman" w:hAnsi="Times New Roman" w:cs="Times New Roman"/>
          <w:b/>
          <w:bCs/>
          <w:sz w:val="36"/>
          <w:szCs w:val="36"/>
        </w:rPr>
      </w:pPr>
      <w:r w:rsidRPr="00B62DF0">
        <w:rPr>
          <w:rFonts w:ascii="Times New Roman" w:eastAsia="Times New Roman" w:hAnsi="Times New Roman" w:cs="Times New Roman"/>
          <w:b/>
          <w:bCs/>
          <w:sz w:val="36"/>
          <w:szCs w:val="36"/>
        </w:rPr>
        <w:t>Key IP Types Relevant to Kenyan Technology Companies</w:t>
      </w:r>
    </w:p>
    <w:p w:rsidR="00B62DF0" w:rsidRPr="00B62DF0" w:rsidRDefault="00B62DF0" w:rsidP="00B62DF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Patents</w:t>
      </w:r>
      <w:r w:rsidRPr="00B62DF0">
        <w:rPr>
          <w:rFonts w:ascii="Times New Roman" w:eastAsia="Times New Roman" w:hAnsi="Times New Roman" w:cs="Times New Roman"/>
          <w:sz w:val="24"/>
          <w:szCs w:val="24"/>
        </w:rPr>
        <w:t xml:space="preserve"> – Protect inventions and technical innovations. Critical for companies developing proprietary software, </w:t>
      </w:r>
      <w:proofErr w:type="spellStart"/>
      <w:r w:rsidRPr="00B62DF0">
        <w:rPr>
          <w:rFonts w:ascii="Times New Roman" w:eastAsia="Times New Roman" w:hAnsi="Times New Roman" w:cs="Times New Roman"/>
          <w:sz w:val="24"/>
          <w:szCs w:val="24"/>
        </w:rPr>
        <w:t>fintech</w:t>
      </w:r>
      <w:proofErr w:type="spellEnd"/>
      <w:r w:rsidRPr="00B62DF0">
        <w:rPr>
          <w:rFonts w:ascii="Times New Roman" w:eastAsia="Times New Roman" w:hAnsi="Times New Roman" w:cs="Times New Roman"/>
          <w:sz w:val="24"/>
          <w:szCs w:val="24"/>
        </w:rPr>
        <w:t xml:space="preserve"> algorithms, or </w:t>
      </w:r>
      <w:proofErr w:type="spellStart"/>
      <w:r w:rsidRPr="00B62DF0">
        <w:rPr>
          <w:rFonts w:ascii="Times New Roman" w:eastAsia="Times New Roman" w:hAnsi="Times New Roman" w:cs="Times New Roman"/>
          <w:sz w:val="24"/>
          <w:szCs w:val="24"/>
        </w:rPr>
        <w:t>agritech</w:t>
      </w:r>
      <w:proofErr w:type="spellEnd"/>
      <w:r w:rsidRPr="00B62DF0">
        <w:rPr>
          <w:rFonts w:ascii="Times New Roman" w:eastAsia="Times New Roman" w:hAnsi="Times New Roman" w:cs="Times New Roman"/>
          <w:sz w:val="24"/>
          <w:szCs w:val="24"/>
        </w:rPr>
        <w:t xml:space="preserve"> devices.</w:t>
      </w:r>
    </w:p>
    <w:p w:rsidR="00B62DF0" w:rsidRPr="00B62DF0" w:rsidRDefault="00B62DF0" w:rsidP="00B62DF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Trademarks</w:t>
      </w:r>
      <w:r w:rsidRPr="00B62DF0">
        <w:rPr>
          <w:rFonts w:ascii="Times New Roman" w:eastAsia="Times New Roman" w:hAnsi="Times New Roman" w:cs="Times New Roman"/>
          <w:sz w:val="24"/>
          <w:szCs w:val="24"/>
        </w:rPr>
        <w:t xml:space="preserve"> – Protect brand names, logos, and product identifiers. Important for consumer tech, SaaS, and digital platforms.</w:t>
      </w:r>
    </w:p>
    <w:p w:rsidR="00B62DF0" w:rsidRPr="00B62DF0" w:rsidRDefault="00B62DF0" w:rsidP="00B62DF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Copyright</w:t>
      </w:r>
      <w:r w:rsidRPr="00B62DF0">
        <w:rPr>
          <w:rFonts w:ascii="Times New Roman" w:eastAsia="Times New Roman" w:hAnsi="Times New Roman" w:cs="Times New Roman"/>
          <w:sz w:val="24"/>
          <w:szCs w:val="24"/>
        </w:rPr>
        <w:t xml:space="preserve"> – Protects software code, databases, and creative works. Ensures control over the distribution and replication of digital products.</w:t>
      </w:r>
    </w:p>
    <w:p w:rsidR="00B62DF0" w:rsidRPr="00B62DF0" w:rsidRDefault="00B62DF0" w:rsidP="00B62DF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Trade Secrets and Know-How</w:t>
      </w:r>
      <w:r w:rsidRPr="00B62DF0">
        <w:rPr>
          <w:rFonts w:ascii="Times New Roman" w:eastAsia="Times New Roman" w:hAnsi="Times New Roman" w:cs="Times New Roman"/>
          <w:sz w:val="24"/>
          <w:szCs w:val="24"/>
        </w:rPr>
        <w:t xml:space="preserve"> – Protect confidential business processes, formulas, and strategies. Often formalized through agreements rather than registrations.</w:t>
      </w:r>
    </w:p>
    <w:p w:rsidR="00B62DF0" w:rsidRPr="00B62DF0" w:rsidRDefault="00B62DF0" w:rsidP="00B62DF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Domain Names and Digital Assets</w:t>
      </w:r>
      <w:r w:rsidRPr="00B62DF0">
        <w:rPr>
          <w:rFonts w:ascii="Times New Roman" w:eastAsia="Times New Roman" w:hAnsi="Times New Roman" w:cs="Times New Roman"/>
          <w:sz w:val="24"/>
          <w:szCs w:val="24"/>
        </w:rPr>
        <w:t xml:space="preserve"> – Increasingly important for online platforms and SaaS companies.</w:t>
      </w:r>
    </w:p>
    <w:p w:rsidR="00B62DF0" w:rsidRPr="00B62DF0" w:rsidRDefault="00B62DF0" w:rsidP="00B62DF0">
      <w:pPr>
        <w:spacing w:before="100" w:beforeAutospacing="1" w:after="100" w:afterAutospacing="1" w:line="240" w:lineRule="auto"/>
        <w:outlineLvl w:val="1"/>
        <w:rPr>
          <w:rFonts w:ascii="Times New Roman" w:eastAsia="Times New Roman" w:hAnsi="Times New Roman" w:cs="Times New Roman"/>
          <w:b/>
          <w:bCs/>
          <w:sz w:val="36"/>
          <w:szCs w:val="36"/>
        </w:rPr>
      </w:pPr>
      <w:r w:rsidRPr="00B62DF0">
        <w:rPr>
          <w:rFonts w:ascii="Times New Roman" w:eastAsia="Times New Roman" w:hAnsi="Times New Roman" w:cs="Times New Roman"/>
          <w:b/>
          <w:bCs/>
          <w:sz w:val="36"/>
          <w:szCs w:val="36"/>
        </w:rPr>
        <w:lastRenderedPageBreak/>
        <w:t>Legal Considerations for Investors</w:t>
      </w:r>
    </w:p>
    <w:p w:rsidR="00B62DF0" w:rsidRPr="00B62DF0" w:rsidRDefault="00B62DF0" w:rsidP="00B62DF0">
      <w:pPr>
        <w:spacing w:before="100" w:beforeAutospacing="1" w:after="100" w:afterAutospacing="1" w:line="240" w:lineRule="auto"/>
        <w:outlineLvl w:val="2"/>
        <w:rPr>
          <w:rFonts w:ascii="Times New Roman" w:eastAsia="Times New Roman" w:hAnsi="Times New Roman" w:cs="Times New Roman"/>
          <w:b/>
          <w:bCs/>
          <w:sz w:val="27"/>
          <w:szCs w:val="27"/>
        </w:rPr>
      </w:pPr>
      <w:r w:rsidRPr="00B62DF0">
        <w:rPr>
          <w:rFonts w:ascii="Times New Roman" w:eastAsia="Times New Roman" w:hAnsi="Times New Roman" w:cs="Times New Roman"/>
          <w:b/>
          <w:bCs/>
          <w:sz w:val="27"/>
          <w:szCs w:val="27"/>
        </w:rPr>
        <w:t>IP Ownership Verification</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Investors must confirm that the company </w:t>
      </w:r>
      <w:r w:rsidRPr="00B62DF0">
        <w:rPr>
          <w:rFonts w:ascii="Times New Roman" w:eastAsia="Times New Roman" w:hAnsi="Times New Roman" w:cs="Times New Roman"/>
          <w:b/>
          <w:bCs/>
          <w:sz w:val="24"/>
          <w:szCs w:val="24"/>
        </w:rPr>
        <w:t>owns or has licensed</w:t>
      </w:r>
      <w:r w:rsidRPr="00B62DF0">
        <w:rPr>
          <w:rFonts w:ascii="Times New Roman" w:eastAsia="Times New Roman" w:hAnsi="Times New Roman" w:cs="Times New Roman"/>
          <w:sz w:val="24"/>
          <w:szCs w:val="24"/>
        </w:rPr>
        <w:t xml:space="preserve"> all IP critical to its operations. Key steps include:</w:t>
      </w:r>
    </w:p>
    <w:p w:rsidR="00B62DF0" w:rsidRPr="00B62DF0" w:rsidRDefault="00B62DF0" w:rsidP="00B62DF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Reviewing employee and contractor agreements for IP assignment clauses.</w:t>
      </w:r>
    </w:p>
    <w:p w:rsidR="00B62DF0" w:rsidRPr="00B62DF0" w:rsidRDefault="00B62DF0" w:rsidP="00B62DF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Ensuring founders have assigned relevant IP to the company.</w:t>
      </w:r>
    </w:p>
    <w:p w:rsidR="00B62DF0" w:rsidRPr="00B62DF0" w:rsidRDefault="00B62DF0" w:rsidP="00B62DF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Checking any pre-existing licensing or third-party IP agreements.</w:t>
      </w:r>
    </w:p>
    <w:p w:rsidR="00B62DF0" w:rsidRPr="00B62DF0" w:rsidRDefault="00B62DF0" w:rsidP="00B62DF0">
      <w:pPr>
        <w:spacing w:before="100" w:beforeAutospacing="1" w:after="100" w:afterAutospacing="1" w:line="240" w:lineRule="auto"/>
        <w:outlineLvl w:val="2"/>
        <w:rPr>
          <w:rFonts w:ascii="Times New Roman" w:eastAsia="Times New Roman" w:hAnsi="Times New Roman" w:cs="Times New Roman"/>
          <w:b/>
          <w:bCs/>
          <w:sz w:val="27"/>
          <w:szCs w:val="27"/>
        </w:rPr>
      </w:pPr>
      <w:r w:rsidRPr="00B62DF0">
        <w:rPr>
          <w:rFonts w:ascii="Times New Roman" w:eastAsia="Times New Roman" w:hAnsi="Times New Roman" w:cs="Times New Roman"/>
          <w:b/>
          <w:bCs/>
          <w:sz w:val="27"/>
          <w:szCs w:val="27"/>
        </w:rPr>
        <w:t>Licensing Agreements and Restrictions</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VC and PE investors need to assess whether the company has the right to use all IP it leverages. Restrictions or expirations can </w:t>
      </w:r>
      <w:r w:rsidRPr="00B62DF0">
        <w:rPr>
          <w:rFonts w:ascii="Times New Roman" w:eastAsia="Times New Roman" w:hAnsi="Times New Roman" w:cs="Times New Roman"/>
          <w:b/>
          <w:bCs/>
          <w:sz w:val="24"/>
          <w:szCs w:val="24"/>
        </w:rPr>
        <w:t>negatively impact valuation or operational freedom</w:t>
      </w:r>
      <w:r w:rsidRPr="00B62DF0">
        <w:rPr>
          <w:rFonts w:ascii="Times New Roman" w:eastAsia="Times New Roman" w:hAnsi="Times New Roman" w:cs="Times New Roman"/>
          <w:sz w:val="24"/>
          <w:szCs w:val="24"/>
        </w:rPr>
        <w:t>.</w:t>
      </w:r>
    </w:p>
    <w:p w:rsidR="00B62DF0" w:rsidRPr="00B62DF0" w:rsidRDefault="00B62DF0" w:rsidP="00B62DF0">
      <w:pPr>
        <w:spacing w:before="100" w:beforeAutospacing="1" w:after="100" w:afterAutospacing="1" w:line="240" w:lineRule="auto"/>
        <w:outlineLvl w:val="2"/>
        <w:rPr>
          <w:rFonts w:ascii="Times New Roman" w:eastAsia="Times New Roman" w:hAnsi="Times New Roman" w:cs="Times New Roman"/>
          <w:b/>
          <w:bCs/>
          <w:sz w:val="27"/>
          <w:szCs w:val="27"/>
        </w:rPr>
      </w:pPr>
      <w:r w:rsidRPr="00B62DF0">
        <w:rPr>
          <w:rFonts w:ascii="Times New Roman" w:eastAsia="Times New Roman" w:hAnsi="Times New Roman" w:cs="Times New Roman"/>
          <w:b/>
          <w:bCs/>
          <w:sz w:val="27"/>
          <w:szCs w:val="27"/>
        </w:rPr>
        <w:t>Protection and Enforcement</w:t>
      </w:r>
    </w:p>
    <w:p w:rsidR="00B62DF0" w:rsidRPr="00B62DF0" w:rsidRDefault="00B62DF0" w:rsidP="00B62DF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Ensuring proper IP registration with the </w:t>
      </w:r>
      <w:r w:rsidRPr="00B62DF0">
        <w:rPr>
          <w:rFonts w:ascii="Times New Roman" w:eastAsia="Times New Roman" w:hAnsi="Times New Roman" w:cs="Times New Roman"/>
          <w:b/>
          <w:bCs/>
          <w:sz w:val="24"/>
          <w:szCs w:val="24"/>
        </w:rPr>
        <w:t>Kenya Industrial Property Institute (KIPI)</w:t>
      </w:r>
      <w:r w:rsidRPr="00B62DF0">
        <w:rPr>
          <w:rFonts w:ascii="Times New Roman" w:eastAsia="Times New Roman" w:hAnsi="Times New Roman" w:cs="Times New Roman"/>
          <w:sz w:val="24"/>
          <w:szCs w:val="24"/>
        </w:rPr>
        <w:t xml:space="preserve"> or relevant authorities.</w:t>
      </w:r>
    </w:p>
    <w:p w:rsidR="00B62DF0" w:rsidRPr="00B62DF0" w:rsidRDefault="00B62DF0" w:rsidP="00B62DF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Evaluating enforcement mechanisms for infringement or counterfeiting.</w:t>
      </w:r>
    </w:p>
    <w:p w:rsidR="00B62DF0" w:rsidRPr="00B62DF0" w:rsidRDefault="00B62DF0" w:rsidP="00B62DF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Considering regional protection for East Africa or international markets if the company operates cross-border.</w:t>
      </w:r>
    </w:p>
    <w:p w:rsidR="00B62DF0" w:rsidRPr="00B62DF0" w:rsidRDefault="00B62DF0" w:rsidP="00B62DF0">
      <w:pPr>
        <w:spacing w:before="100" w:beforeAutospacing="1" w:after="100" w:afterAutospacing="1" w:line="240" w:lineRule="auto"/>
        <w:outlineLvl w:val="2"/>
        <w:rPr>
          <w:rFonts w:ascii="Times New Roman" w:eastAsia="Times New Roman" w:hAnsi="Times New Roman" w:cs="Times New Roman"/>
          <w:b/>
          <w:bCs/>
          <w:sz w:val="27"/>
          <w:szCs w:val="27"/>
        </w:rPr>
      </w:pPr>
      <w:r w:rsidRPr="00B62DF0">
        <w:rPr>
          <w:rFonts w:ascii="Times New Roman" w:eastAsia="Times New Roman" w:hAnsi="Times New Roman" w:cs="Times New Roman"/>
          <w:b/>
          <w:bCs/>
          <w:sz w:val="27"/>
          <w:szCs w:val="27"/>
        </w:rPr>
        <w:t>Risk Allocation in Investment Documents</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Investors can negotiate warranties, indemnities, and covenants in shareholder or investment agreements, including:</w:t>
      </w:r>
    </w:p>
    <w:p w:rsidR="00B62DF0" w:rsidRPr="00B62DF0" w:rsidRDefault="00B62DF0" w:rsidP="00B62DF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Representations that all IP is owned or licensed free of encumbrances.</w:t>
      </w:r>
    </w:p>
    <w:p w:rsidR="00B62DF0" w:rsidRPr="00B62DF0" w:rsidRDefault="00B62DF0" w:rsidP="00B62DF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Undertakings to maintain and protect IP rights.</w:t>
      </w:r>
    </w:p>
    <w:p w:rsidR="00B62DF0" w:rsidRPr="00B62DF0" w:rsidRDefault="00B62DF0" w:rsidP="00B62DF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Indemnities for IP disputes arising from prior ownership or third-party claims.</w:t>
      </w:r>
    </w:p>
    <w:p w:rsidR="00B62DF0" w:rsidRPr="00B62DF0" w:rsidRDefault="00B62DF0" w:rsidP="00B62DF0">
      <w:pPr>
        <w:spacing w:before="100" w:beforeAutospacing="1" w:after="100" w:afterAutospacing="1" w:line="240" w:lineRule="auto"/>
        <w:outlineLvl w:val="2"/>
        <w:rPr>
          <w:rFonts w:ascii="Times New Roman" w:eastAsia="Times New Roman" w:hAnsi="Times New Roman" w:cs="Times New Roman"/>
          <w:b/>
          <w:bCs/>
          <w:sz w:val="27"/>
          <w:szCs w:val="27"/>
        </w:rPr>
      </w:pPr>
      <w:r w:rsidRPr="00B62DF0">
        <w:rPr>
          <w:rFonts w:ascii="Times New Roman" w:eastAsia="Times New Roman" w:hAnsi="Times New Roman" w:cs="Times New Roman"/>
          <w:b/>
          <w:bCs/>
          <w:sz w:val="27"/>
          <w:szCs w:val="27"/>
        </w:rPr>
        <w:t>Due Diligence and Valuation Impact</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IP due diligence affects both </w:t>
      </w:r>
      <w:r w:rsidRPr="00B62DF0">
        <w:rPr>
          <w:rFonts w:ascii="Times New Roman" w:eastAsia="Times New Roman" w:hAnsi="Times New Roman" w:cs="Times New Roman"/>
          <w:b/>
          <w:bCs/>
          <w:sz w:val="24"/>
          <w:szCs w:val="24"/>
        </w:rPr>
        <w:t>deal structure and valuation</w:t>
      </w:r>
      <w:r w:rsidRPr="00B62DF0">
        <w:rPr>
          <w:rFonts w:ascii="Times New Roman" w:eastAsia="Times New Roman" w:hAnsi="Times New Roman" w:cs="Times New Roman"/>
          <w:sz w:val="24"/>
          <w:szCs w:val="24"/>
        </w:rPr>
        <w:t>. Gaps in ownership, registration, or licensing may require escrow arrangements, earn-outs, or adjusted pricing. IP risk is a frequent deal breaker in technology investments.</w:t>
      </w:r>
    </w:p>
    <w:p w:rsidR="00B62DF0" w:rsidRPr="00B62DF0" w:rsidRDefault="00B62DF0" w:rsidP="00B62DF0">
      <w:pPr>
        <w:spacing w:before="100" w:beforeAutospacing="1" w:after="100" w:afterAutospacing="1" w:line="240" w:lineRule="auto"/>
        <w:outlineLvl w:val="1"/>
        <w:rPr>
          <w:rFonts w:ascii="Times New Roman" w:eastAsia="Times New Roman" w:hAnsi="Times New Roman" w:cs="Times New Roman"/>
          <w:b/>
          <w:bCs/>
          <w:sz w:val="36"/>
          <w:szCs w:val="36"/>
        </w:rPr>
      </w:pPr>
      <w:r w:rsidRPr="00B62DF0">
        <w:rPr>
          <w:rFonts w:ascii="Times New Roman" w:eastAsia="Times New Roman" w:hAnsi="Times New Roman" w:cs="Times New Roman"/>
          <w:b/>
          <w:bCs/>
          <w:sz w:val="36"/>
          <w:szCs w:val="36"/>
        </w:rPr>
        <w:t>Emerging Considerations for Kenya</w:t>
      </w:r>
    </w:p>
    <w:p w:rsidR="00B62DF0" w:rsidRPr="00B62DF0" w:rsidRDefault="00B62DF0" w:rsidP="00B62DF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Open-Source Software</w:t>
      </w:r>
      <w:r w:rsidRPr="00B62DF0">
        <w:rPr>
          <w:rFonts w:ascii="Times New Roman" w:eastAsia="Times New Roman" w:hAnsi="Times New Roman" w:cs="Times New Roman"/>
          <w:sz w:val="24"/>
          <w:szCs w:val="24"/>
        </w:rPr>
        <w:t>: Many Kenyan tech startups use open-source software. Investors must ensure license compliance to prevent legal exposure.</w:t>
      </w:r>
    </w:p>
    <w:p w:rsidR="00B62DF0" w:rsidRPr="00B62DF0" w:rsidRDefault="00B62DF0" w:rsidP="00B62DF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t>Digital Content &amp; AI</w:t>
      </w:r>
      <w:r w:rsidRPr="00B62DF0">
        <w:rPr>
          <w:rFonts w:ascii="Times New Roman" w:eastAsia="Times New Roman" w:hAnsi="Times New Roman" w:cs="Times New Roman"/>
          <w:sz w:val="24"/>
          <w:szCs w:val="24"/>
        </w:rPr>
        <w:t>: As AI and digital platforms grow, IP ownership of generated content and algorithms is increasingly critical.</w:t>
      </w:r>
    </w:p>
    <w:p w:rsidR="00B62DF0" w:rsidRPr="00B62DF0" w:rsidRDefault="00B62DF0" w:rsidP="00B62DF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b/>
          <w:bCs/>
          <w:sz w:val="24"/>
          <w:szCs w:val="24"/>
        </w:rPr>
        <w:lastRenderedPageBreak/>
        <w:t>Cross-Border IP Enforcement</w:t>
      </w:r>
      <w:r w:rsidRPr="00B62DF0">
        <w:rPr>
          <w:rFonts w:ascii="Times New Roman" w:eastAsia="Times New Roman" w:hAnsi="Times New Roman" w:cs="Times New Roman"/>
          <w:sz w:val="24"/>
          <w:szCs w:val="24"/>
        </w:rPr>
        <w:t>: Regional expansion may require consideration of EAC or international IP laws to secure rights and enforce protections.</w:t>
      </w:r>
    </w:p>
    <w:p w:rsidR="00B62DF0" w:rsidRPr="00B62DF0" w:rsidRDefault="00B62DF0" w:rsidP="00B62DF0">
      <w:pPr>
        <w:spacing w:before="100" w:beforeAutospacing="1" w:after="100" w:afterAutospacing="1" w:line="240" w:lineRule="auto"/>
        <w:outlineLvl w:val="1"/>
        <w:rPr>
          <w:rFonts w:ascii="Times New Roman" w:eastAsia="Times New Roman" w:hAnsi="Times New Roman" w:cs="Times New Roman"/>
          <w:b/>
          <w:bCs/>
          <w:sz w:val="36"/>
          <w:szCs w:val="36"/>
        </w:rPr>
      </w:pPr>
      <w:r w:rsidRPr="00B62DF0">
        <w:rPr>
          <w:rFonts w:ascii="Times New Roman" w:eastAsia="Times New Roman" w:hAnsi="Times New Roman" w:cs="Times New Roman"/>
          <w:b/>
          <w:bCs/>
          <w:sz w:val="36"/>
          <w:szCs w:val="36"/>
        </w:rPr>
        <w:t>Practical Steps for Investors</w:t>
      </w:r>
    </w:p>
    <w:p w:rsidR="00B62DF0" w:rsidRPr="00B62DF0" w:rsidRDefault="00B62DF0" w:rsidP="00B62DF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Conduct thorough </w:t>
      </w:r>
      <w:r w:rsidRPr="00B62DF0">
        <w:rPr>
          <w:rFonts w:ascii="Times New Roman" w:eastAsia="Times New Roman" w:hAnsi="Times New Roman" w:cs="Times New Roman"/>
          <w:b/>
          <w:bCs/>
          <w:sz w:val="24"/>
          <w:szCs w:val="24"/>
        </w:rPr>
        <w:t>IP due diligence</w:t>
      </w:r>
      <w:r w:rsidRPr="00B62DF0">
        <w:rPr>
          <w:rFonts w:ascii="Times New Roman" w:eastAsia="Times New Roman" w:hAnsi="Times New Roman" w:cs="Times New Roman"/>
          <w:sz w:val="24"/>
          <w:szCs w:val="24"/>
        </w:rPr>
        <w:t xml:space="preserve"> as part of the investment process.</w:t>
      </w:r>
    </w:p>
    <w:p w:rsidR="00B62DF0" w:rsidRPr="00B62DF0" w:rsidRDefault="00B62DF0" w:rsidP="00B62DF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Verify </w:t>
      </w:r>
      <w:r w:rsidRPr="00B62DF0">
        <w:rPr>
          <w:rFonts w:ascii="Times New Roman" w:eastAsia="Times New Roman" w:hAnsi="Times New Roman" w:cs="Times New Roman"/>
          <w:b/>
          <w:bCs/>
          <w:sz w:val="24"/>
          <w:szCs w:val="24"/>
        </w:rPr>
        <w:t>employee and founder IP assignments</w:t>
      </w:r>
      <w:r w:rsidRPr="00B62DF0">
        <w:rPr>
          <w:rFonts w:ascii="Times New Roman" w:eastAsia="Times New Roman" w:hAnsi="Times New Roman" w:cs="Times New Roman"/>
          <w:sz w:val="24"/>
          <w:szCs w:val="24"/>
        </w:rPr>
        <w:t>.</w:t>
      </w:r>
    </w:p>
    <w:p w:rsidR="00B62DF0" w:rsidRPr="00B62DF0" w:rsidRDefault="00B62DF0" w:rsidP="00B62DF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Ensure </w:t>
      </w:r>
      <w:r w:rsidRPr="00B62DF0">
        <w:rPr>
          <w:rFonts w:ascii="Times New Roman" w:eastAsia="Times New Roman" w:hAnsi="Times New Roman" w:cs="Times New Roman"/>
          <w:b/>
          <w:bCs/>
          <w:sz w:val="24"/>
          <w:szCs w:val="24"/>
        </w:rPr>
        <w:t>IP registration is up-to-date and enforceable</w:t>
      </w:r>
      <w:r w:rsidRPr="00B62DF0">
        <w:rPr>
          <w:rFonts w:ascii="Times New Roman" w:eastAsia="Times New Roman" w:hAnsi="Times New Roman" w:cs="Times New Roman"/>
          <w:sz w:val="24"/>
          <w:szCs w:val="24"/>
        </w:rPr>
        <w:t>.</w:t>
      </w:r>
    </w:p>
    <w:p w:rsidR="00B62DF0" w:rsidRPr="00B62DF0" w:rsidRDefault="00B62DF0" w:rsidP="00B62DF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Include </w:t>
      </w:r>
      <w:r w:rsidRPr="00B62DF0">
        <w:rPr>
          <w:rFonts w:ascii="Times New Roman" w:eastAsia="Times New Roman" w:hAnsi="Times New Roman" w:cs="Times New Roman"/>
          <w:b/>
          <w:bCs/>
          <w:sz w:val="24"/>
          <w:szCs w:val="24"/>
        </w:rPr>
        <w:t>IP representations, warranties, and indemnities</w:t>
      </w:r>
      <w:r w:rsidRPr="00B62DF0">
        <w:rPr>
          <w:rFonts w:ascii="Times New Roman" w:eastAsia="Times New Roman" w:hAnsi="Times New Roman" w:cs="Times New Roman"/>
          <w:sz w:val="24"/>
          <w:szCs w:val="24"/>
        </w:rPr>
        <w:t xml:space="preserve"> in investment agreements.</w:t>
      </w:r>
    </w:p>
    <w:p w:rsidR="00B62DF0" w:rsidRPr="00B62DF0" w:rsidRDefault="00B62DF0" w:rsidP="00B62DF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Plan for </w:t>
      </w:r>
      <w:r w:rsidRPr="00B62DF0">
        <w:rPr>
          <w:rFonts w:ascii="Times New Roman" w:eastAsia="Times New Roman" w:hAnsi="Times New Roman" w:cs="Times New Roman"/>
          <w:b/>
          <w:bCs/>
          <w:sz w:val="24"/>
          <w:szCs w:val="24"/>
        </w:rPr>
        <w:t>post-investment IP governance</w:t>
      </w:r>
      <w:r w:rsidRPr="00B62DF0">
        <w:rPr>
          <w:rFonts w:ascii="Times New Roman" w:eastAsia="Times New Roman" w:hAnsi="Times New Roman" w:cs="Times New Roman"/>
          <w:sz w:val="24"/>
          <w:szCs w:val="24"/>
        </w:rPr>
        <w:t>, including ongoing protection and monitoring.</w:t>
      </w:r>
    </w:p>
    <w:p w:rsidR="00B62DF0" w:rsidRPr="00B62DF0" w:rsidRDefault="00B62DF0" w:rsidP="00B62DF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Consider </w:t>
      </w:r>
      <w:r w:rsidRPr="00B62DF0">
        <w:rPr>
          <w:rFonts w:ascii="Times New Roman" w:eastAsia="Times New Roman" w:hAnsi="Times New Roman" w:cs="Times New Roman"/>
          <w:b/>
          <w:bCs/>
          <w:sz w:val="24"/>
          <w:szCs w:val="24"/>
        </w:rPr>
        <w:t>regional and international IP strategy</w:t>
      </w:r>
      <w:r w:rsidRPr="00B62DF0">
        <w:rPr>
          <w:rFonts w:ascii="Times New Roman" w:eastAsia="Times New Roman" w:hAnsi="Times New Roman" w:cs="Times New Roman"/>
          <w:sz w:val="24"/>
          <w:szCs w:val="24"/>
        </w:rPr>
        <w:t xml:space="preserve"> if the company scales outside Kenya.</w:t>
      </w:r>
    </w:p>
    <w:p w:rsidR="00B62DF0" w:rsidRPr="00B62DF0" w:rsidRDefault="00B62DF0" w:rsidP="00B62DF0">
      <w:pPr>
        <w:spacing w:before="100" w:beforeAutospacing="1" w:after="100" w:afterAutospacing="1" w:line="240" w:lineRule="auto"/>
        <w:outlineLvl w:val="1"/>
        <w:rPr>
          <w:rFonts w:ascii="Times New Roman" w:eastAsia="Times New Roman" w:hAnsi="Times New Roman" w:cs="Times New Roman"/>
          <w:b/>
          <w:bCs/>
          <w:sz w:val="36"/>
          <w:szCs w:val="36"/>
        </w:rPr>
      </w:pPr>
      <w:r w:rsidRPr="00B62DF0">
        <w:rPr>
          <w:rFonts w:ascii="Times New Roman" w:eastAsia="Times New Roman" w:hAnsi="Times New Roman" w:cs="Times New Roman"/>
          <w:b/>
          <w:bCs/>
          <w:sz w:val="36"/>
          <w:szCs w:val="36"/>
        </w:rPr>
        <w:t>Conclusion</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sz w:val="24"/>
          <w:szCs w:val="24"/>
        </w:rPr>
        <w:t xml:space="preserve">For venture capital and private equity investors in Kenya, IP is more than an intangible asset — it is a </w:t>
      </w:r>
      <w:r w:rsidRPr="00B62DF0">
        <w:rPr>
          <w:rFonts w:ascii="Times New Roman" w:eastAsia="Times New Roman" w:hAnsi="Times New Roman" w:cs="Times New Roman"/>
          <w:b/>
          <w:bCs/>
          <w:sz w:val="24"/>
          <w:szCs w:val="24"/>
        </w:rPr>
        <w:t>strategic cornerstone</w:t>
      </w:r>
      <w:r w:rsidRPr="00B62DF0">
        <w:rPr>
          <w:rFonts w:ascii="Times New Roman" w:eastAsia="Times New Roman" w:hAnsi="Times New Roman" w:cs="Times New Roman"/>
          <w:sz w:val="24"/>
          <w:szCs w:val="24"/>
        </w:rPr>
        <w:t xml:space="preserve"> that affects investment value, operational freedom, and exit potential. Robust IP protection, clear ownership, and proactive risk management are essential components of any technology investment. By integrating IP considerations into due diligence, deal structuring, and ongoing corporate governance, investors can safeguard their investment and enhance the long-term growth prospects of Kenyan technology companies.</w:t>
      </w:r>
    </w:p>
    <w:p w:rsidR="00B62DF0" w:rsidRPr="00B62DF0" w:rsidRDefault="00B62DF0" w:rsidP="00B62DF0">
      <w:pPr>
        <w:spacing w:before="100" w:beforeAutospacing="1" w:after="100" w:afterAutospacing="1" w:line="240" w:lineRule="auto"/>
        <w:rPr>
          <w:rFonts w:ascii="Times New Roman" w:eastAsia="Times New Roman" w:hAnsi="Times New Roman" w:cs="Times New Roman"/>
          <w:sz w:val="24"/>
          <w:szCs w:val="24"/>
        </w:rPr>
      </w:pPr>
      <w:r w:rsidRPr="00B62DF0">
        <w:rPr>
          <w:rFonts w:ascii="Times New Roman" w:eastAsia="Times New Roman" w:hAnsi="Times New Roman" w:cs="Times New Roman"/>
          <w:i/>
          <w:iCs/>
          <w:sz w:val="24"/>
          <w:szCs w:val="24"/>
        </w:rPr>
        <w:t>Intellectual property isn’t just legal protection — it’s a foundation for value creation in the technology-driven economy.</w:t>
      </w:r>
    </w:p>
    <w:p w:rsidR="00862AF1" w:rsidRDefault="00862AF1"/>
    <w:sectPr w:rsidR="00862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F232B"/>
    <w:multiLevelType w:val="multilevel"/>
    <w:tmpl w:val="B9CA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E1A88"/>
    <w:multiLevelType w:val="multilevel"/>
    <w:tmpl w:val="3064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4D6444"/>
    <w:multiLevelType w:val="multilevel"/>
    <w:tmpl w:val="B9B27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885DF6"/>
    <w:multiLevelType w:val="multilevel"/>
    <w:tmpl w:val="C316B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E66898"/>
    <w:multiLevelType w:val="multilevel"/>
    <w:tmpl w:val="A832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54A91"/>
    <w:multiLevelType w:val="multilevel"/>
    <w:tmpl w:val="B734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925C2B"/>
    <w:multiLevelType w:val="multilevel"/>
    <w:tmpl w:val="5B04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DF0"/>
    <w:rsid w:val="000B7BC8"/>
    <w:rsid w:val="007F5DAC"/>
    <w:rsid w:val="00862AF1"/>
    <w:rsid w:val="00B62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2F081-8AD8-45DA-996C-6FAEFEB1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62D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62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62D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DF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62DF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62DF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62D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2DF0"/>
    <w:rPr>
      <w:b/>
      <w:bCs/>
    </w:rPr>
  </w:style>
  <w:style w:type="character" w:styleId="Emphasis">
    <w:name w:val="Emphasis"/>
    <w:basedOn w:val="DefaultParagraphFont"/>
    <w:uiPriority w:val="20"/>
    <w:qFormat/>
    <w:rsid w:val="00B62D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16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Imanyara</dc:creator>
  <cp:keywords/>
  <dc:description/>
  <cp:lastModifiedBy>Doreen Imanyara</cp:lastModifiedBy>
  <cp:revision>1</cp:revision>
  <dcterms:created xsi:type="dcterms:W3CDTF">2026-01-22T09:55:00Z</dcterms:created>
  <dcterms:modified xsi:type="dcterms:W3CDTF">2026-01-22T09:55:00Z</dcterms:modified>
</cp:coreProperties>
</file>